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исследования проблем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исследования проблем начального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«Современные исследования проблем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исследования проблем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вариативных контекстов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«Современные исследования проблем начального образования» относится к обязательной части, является дисциплиной Блока Б1. «Дисциплины (модули)». Модуль "Теория и практика исследований в  начальном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начального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учебной деятелньости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Метапредметные результаты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ПРеемственность начального и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начального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государственной политики в области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ПРеемственность начального и основного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одаренности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неуспевающими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начального образования детей в Российской Федерации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общего образования в современной социально-экономической ситуации  России. Роль начального  образования детей в модернизации общего образования. Тенденции развития начального образования детей в Российской Федерации. Современные проблемы развития начального образования детей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учебной деятелньости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деятельность -  ведущий вид деятельности моалших школьников.  Структруа учебной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Метапредметные результаты в начальной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резульатты образования. УУД. Программа формирования УУД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ПРеемственность начального и основного общего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начального образования детей в Российской Федерации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"Проблемы начального  образования детей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государственной политики в области начального образования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социального заказа на  образование детей.</w:t>
            </w:r>
          </w:p>
          <w:p>
            <w:pPr>
              <w:jc w:val="left"/>
              <w:spacing w:after="0" w:line="240" w:lineRule="auto"/>
              <w:rPr>
                <w:sz w:val="24"/>
                <w:szCs w:val="24"/>
              </w:rPr>
            </w:pPr>
            <w:r>
              <w:rPr>
                <w:rFonts w:ascii="Times New Roman" w:hAnsi="Times New Roman" w:cs="Times New Roman"/>
                <w:color w:val="#000000"/>
                <w:sz w:val="24"/>
                <w:szCs w:val="24"/>
              </w:rPr>
              <w:t> 2. Особенности изучения государственного заказа на  образование.</w:t>
            </w:r>
          </w:p>
          <w:p>
            <w:pPr>
              <w:jc w:val="left"/>
              <w:spacing w:after="0" w:line="240" w:lineRule="auto"/>
              <w:rPr>
                <w:sz w:val="24"/>
                <w:szCs w:val="24"/>
              </w:rPr>
            </w:pPr>
            <w:r>
              <w:rPr>
                <w:rFonts w:ascii="Times New Roman" w:hAnsi="Times New Roman" w:cs="Times New Roman"/>
                <w:color w:val="#000000"/>
                <w:sz w:val="24"/>
                <w:szCs w:val="24"/>
              </w:rPr>
              <w:t> 3. Особенности изучения общественного заказа на  образование .</w:t>
            </w:r>
          </w:p>
          <w:p>
            <w:pPr>
              <w:jc w:val="left"/>
              <w:spacing w:after="0" w:line="240" w:lineRule="auto"/>
              <w:rPr>
                <w:sz w:val="24"/>
                <w:szCs w:val="24"/>
              </w:rPr>
            </w:pPr>
            <w:r>
              <w:rPr>
                <w:rFonts w:ascii="Times New Roman" w:hAnsi="Times New Roman" w:cs="Times New Roman"/>
                <w:color w:val="#000000"/>
                <w:sz w:val="24"/>
                <w:szCs w:val="24"/>
              </w:rPr>
              <w:t> 4. Особенности изучения личностного заказа на  образование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ПРеемственность начального и основного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одаренности младших школьников</w:t>
            </w:r>
          </w:p>
        </w:tc>
      </w:tr>
      <w:tr>
        <w:trPr>
          <w:trHeight w:hRule="exact" w:val="21.31518"/>
        </w:trPr>
        <w:tc>
          <w:tcPr>
            <w:tcW w:w="9640" w:type="dxa"/>
          </w:tcPr>
          <w:p/>
        </w:tc>
      </w:tr>
      <w:tr>
        <w:trPr>
          <w:trHeight w:hRule="exact" w:val="395.2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сущность сопровождения одаренныхдетей в системе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Отечественный опыт сопровождения одаренных 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3. Нормативно-правовое обеспечение государственной политики России в отношении одаренных детей и талантливой молодежи.</w:t>
            </w:r>
          </w:p>
          <w:p>
            <w:pPr>
              <w:jc w:val="left"/>
              <w:spacing w:after="0" w:line="240" w:lineRule="auto"/>
              <w:rPr>
                <w:sz w:val="24"/>
                <w:szCs w:val="24"/>
              </w:rPr>
            </w:pPr>
            <w:r>
              <w:rPr>
                <w:rFonts w:ascii="Times New Roman" w:hAnsi="Times New Roman" w:cs="Times New Roman"/>
                <w:color w:val="#000000"/>
                <w:sz w:val="24"/>
                <w:szCs w:val="24"/>
              </w:rPr>
              <w:t> 4. Модель сопровождения одаренных детей в региональном образовательном пространстве</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неуспевающими детьми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исследования проблем начального образования»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Дивлет-Кильдеева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http://www.iprbookshop.ru/51691.html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91.7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2024-2025_ФГОС3++2024_Маг-ОФО-ПО(НО)(24)_plx_Современные исследования проблем начального образования</dc:title>
  <dc:creator>FastReport.NET</dc:creator>
</cp:coreProperties>
</file>